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42BE" w:rsidRPr="005C304D" w:rsidRDefault="005C304D">
      <w:pPr>
        <w:rPr>
          <w:b/>
          <w:sz w:val="32"/>
          <w:szCs w:val="32"/>
        </w:rPr>
      </w:pPr>
      <w:r w:rsidRPr="005C304D">
        <w:rPr>
          <w:b/>
          <w:sz w:val="32"/>
          <w:szCs w:val="32"/>
        </w:rPr>
        <w:t>Lecture 1:</w:t>
      </w:r>
    </w:p>
    <w:p w:rsidR="005C304D" w:rsidRDefault="005C304D">
      <w:pPr>
        <w:rPr>
          <w:b/>
          <w:sz w:val="28"/>
          <w:szCs w:val="28"/>
        </w:rPr>
      </w:pPr>
      <w:r w:rsidRPr="005C304D">
        <w:rPr>
          <w:b/>
          <w:sz w:val="28"/>
          <w:szCs w:val="28"/>
        </w:rPr>
        <w:t>Historical Note:</w:t>
      </w:r>
    </w:p>
    <w:p w:rsidR="005C304D" w:rsidRPr="005C304D" w:rsidRDefault="005C304D" w:rsidP="005C304D">
      <w:pPr>
        <w:spacing w:before="280" w:after="280" w:line="240" w:lineRule="auto"/>
        <w:rPr>
          <w:rFonts w:ascii="Times New Roman" w:eastAsia="Times New Roman" w:hAnsi="Times New Roman" w:cs="Times New Roman"/>
          <w:sz w:val="24"/>
          <w:szCs w:val="24"/>
        </w:rPr>
      </w:pPr>
      <w:r w:rsidRPr="005C304D">
        <w:rPr>
          <w:rFonts w:ascii="Times New Roman" w:eastAsia="Times New Roman" w:hAnsi="Times New Roman" w:cs="Times New Roman"/>
          <w:color w:val="000000"/>
          <w:sz w:val="27"/>
          <w:szCs w:val="27"/>
        </w:rPr>
        <w:t>There are three historical roots of the development of abstract group theory evident in the mathematical literature of the nineteenth century: the theory of algebraic equations, number theory, and geometry. All three of these areas used group theoretic methods of reasoning, although the methods were considerably more explicit in the first area than in the two.</w:t>
      </w:r>
    </w:p>
    <w:p w:rsidR="005C304D" w:rsidRPr="005C304D" w:rsidRDefault="005C304D" w:rsidP="005C304D">
      <w:pPr>
        <w:spacing w:before="280" w:after="280" w:line="240" w:lineRule="auto"/>
        <w:rPr>
          <w:rFonts w:ascii="Times New Roman" w:eastAsia="Times New Roman" w:hAnsi="Times New Roman" w:cs="Times New Roman"/>
          <w:sz w:val="24"/>
          <w:szCs w:val="24"/>
        </w:rPr>
      </w:pPr>
      <w:r w:rsidRPr="005C304D">
        <w:rPr>
          <w:rFonts w:ascii="Times New Roman" w:eastAsia="Times New Roman" w:hAnsi="Times New Roman" w:cs="Times New Roman"/>
          <w:color w:val="000000"/>
          <w:sz w:val="27"/>
          <w:szCs w:val="27"/>
        </w:rPr>
        <w:t>                    One of the central themes of geometry in the nineteenth century was the search for invariants under various types of geometric transformations. Gradually attention became focused on the transformations themselves, which in many cases can be thought of as elements of groups. </w:t>
      </w:r>
    </w:p>
    <w:p w:rsidR="005C304D" w:rsidRPr="005C304D" w:rsidRDefault="005C304D" w:rsidP="005C304D">
      <w:pPr>
        <w:spacing w:before="280" w:after="280" w:line="240" w:lineRule="auto"/>
        <w:rPr>
          <w:rFonts w:ascii="Times New Roman" w:eastAsia="Times New Roman" w:hAnsi="Times New Roman" w:cs="Times New Roman"/>
          <w:sz w:val="24"/>
          <w:szCs w:val="24"/>
        </w:rPr>
      </w:pPr>
      <w:r w:rsidRPr="005C304D">
        <w:rPr>
          <w:rFonts w:ascii="Times New Roman" w:eastAsia="Times New Roman" w:hAnsi="Times New Roman" w:cs="Times New Roman"/>
          <w:color w:val="000000"/>
          <w:sz w:val="27"/>
          <w:szCs w:val="27"/>
        </w:rPr>
        <w:t xml:space="preserve">      In number theory, already in the eighteenth century, Leonhard Euler had considered the remainders on the division of power </w:t>
      </w:r>
      <w:r w:rsidRPr="005C304D">
        <w:rPr>
          <w:rFonts w:ascii="Cambria Math" w:eastAsia="Times New Roman" w:hAnsi="Cambria Math" w:cs="Times New Roman"/>
          <w:color w:val="000000"/>
          <w:sz w:val="27"/>
          <w:szCs w:val="27"/>
        </w:rPr>
        <w:t>𝑎𝑛</w:t>
      </w:r>
      <w:r w:rsidRPr="005C304D">
        <w:rPr>
          <w:rFonts w:ascii="Times New Roman" w:eastAsia="Times New Roman" w:hAnsi="Times New Roman" w:cs="Times New Roman"/>
          <w:color w:val="000000"/>
          <w:sz w:val="27"/>
          <w:szCs w:val="27"/>
        </w:rPr>
        <w:t xml:space="preserve"> by fixed prime </w:t>
      </w:r>
      <w:r w:rsidRPr="005C304D">
        <w:rPr>
          <w:rFonts w:ascii="Cambria Math" w:eastAsia="Times New Roman" w:hAnsi="Cambria Math" w:cs="Times New Roman"/>
          <w:color w:val="000000"/>
          <w:sz w:val="27"/>
          <w:szCs w:val="27"/>
        </w:rPr>
        <w:t>𝑝</w:t>
      </w:r>
      <w:r w:rsidRPr="005C304D">
        <w:rPr>
          <w:rFonts w:ascii="Times New Roman" w:eastAsia="Times New Roman" w:hAnsi="Times New Roman" w:cs="Times New Roman"/>
          <w:color w:val="000000"/>
          <w:sz w:val="27"/>
          <w:szCs w:val="27"/>
        </w:rPr>
        <w:t>. These remainders have “group” properties. Similarly, Carl F. Gauss, </w:t>
      </w:r>
    </w:p>
    <w:p w:rsidR="005C304D" w:rsidRPr="005C304D" w:rsidRDefault="005C304D" w:rsidP="005C304D">
      <w:pPr>
        <w:spacing w:before="280" w:after="280" w:line="240" w:lineRule="auto"/>
        <w:rPr>
          <w:rFonts w:ascii="Times New Roman" w:eastAsia="Times New Roman" w:hAnsi="Times New Roman" w:cs="Times New Roman"/>
          <w:sz w:val="24"/>
          <w:szCs w:val="24"/>
        </w:rPr>
      </w:pPr>
      <w:r w:rsidRPr="005C304D">
        <w:rPr>
          <w:rFonts w:ascii="Times New Roman" w:eastAsia="Times New Roman" w:hAnsi="Times New Roman" w:cs="Times New Roman"/>
          <w:color w:val="000000"/>
          <w:sz w:val="27"/>
          <w:szCs w:val="27"/>
        </w:rPr>
        <w:t>Finally, the theory of algebraic equations provided the most explicit prefiguring of the group concept. </w:t>
      </w:r>
    </w:p>
    <w:p w:rsidR="005C304D" w:rsidRPr="005C304D" w:rsidRDefault="005C304D" w:rsidP="005C304D">
      <w:pPr>
        <w:spacing w:before="280" w:after="280" w:line="240" w:lineRule="auto"/>
        <w:rPr>
          <w:rFonts w:ascii="Times New Roman" w:eastAsia="Times New Roman" w:hAnsi="Times New Roman" w:cs="Times New Roman"/>
          <w:sz w:val="24"/>
          <w:szCs w:val="24"/>
        </w:rPr>
      </w:pPr>
      <w:bookmarkStart w:id="0" w:name="_GoBack"/>
      <w:bookmarkEnd w:id="0"/>
      <w:r w:rsidRPr="005C304D">
        <w:rPr>
          <w:rFonts w:ascii="Times New Roman" w:eastAsia="Times New Roman" w:hAnsi="Times New Roman" w:cs="Times New Roman"/>
          <w:color w:val="000000"/>
          <w:sz w:val="27"/>
          <w:szCs w:val="27"/>
        </w:rPr>
        <w:t>Joseph-Louis Lagrange (1736 − 1813) initiated the study of permutations of the roots of an equation as a tool for solving it. These permutations, of course, were ultimately considered as elements of a group.</w:t>
      </w:r>
    </w:p>
    <w:p w:rsidR="005C304D" w:rsidRPr="005C304D" w:rsidRDefault="005C304D" w:rsidP="005C304D">
      <w:pPr>
        <w:spacing w:before="280" w:after="280" w:line="240" w:lineRule="auto"/>
        <w:rPr>
          <w:rFonts w:ascii="Times New Roman" w:eastAsia="Times New Roman" w:hAnsi="Times New Roman" w:cs="Times New Roman"/>
          <w:sz w:val="24"/>
          <w:szCs w:val="24"/>
        </w:rPr>
      </w:pPr>
      <w:r w:rsidRPr="005C304D">
        <w:rPr>
          <w:rFonts w:ascii="Times New Roman" w:eastAsia="Times New Roman" w:hAnsi="Times New Roman" w:cs="Times New Roman"/>
          <w:color w:val="000000"/>
          <w:sz w:val="27"/>
          <w:szCs w:val="27"/>
        </w:rPr>
        <w:t xml:space="preserve">It was Walter von </w:t>
      </w:r>
      <w:proofErr w:type="spellStart"/>
      <w:r w:rsidRPr="005C304D">
        <w:rPr>
          <w:rFonts w:ascii="Times New Roman" w:eastAsia="Times New Roman" w:hAnsi="Times New Roman" w:cs="Times New Roman"/>
          <w:color w:val="000000"/>
          <w:sz w:val="27"/>
          <w:szCs w:val="27"/>
        </w:rPr>
        <w:t>Dyck</w:t>
      </w:r>
      <w:proofErr w:type="spellEnd"/>
      <w:r w:rsidRPr="005C304D">
        <w:rPr>
          <w:rFonts w:ascii="Times New Roman" w:eastAsia="Times New Roman" w:hAnsi="Times New Roman" w:cs="Times New Roman"/>
          <w:color w:val="000000"/>
          <w:sz w:val="27"/>
          <w:szCs w:val="27"/>
        </w:rPr>
        <w:t xml:space="preserve"> (1856 − 1934) and Heinrich Weber (1842 − 1913) who is 1882 were able independently to combine the three roots and give clear definitions of the notion of an abstract group.</w:t>
      </w:r>
    </w:p>
    <w:p w:rsidR="005C304D" w:rsidRPr="005C304D" w:rsidRDefault="005C304D">
      <w:pPr>
        <w:rPr>
          <w:b/>
          <w:sz w:val="28"/>
          <w:szCs w:val="28"/>
        </w:rPr>
      </w:pPr>
    </w:p>
    <w:sectPr w:rsidR="005C304D" w:rsidRPr="005C30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04D"/>
    <w:rsid w:val="003342BE"/>
    <w:rsid w:val="005C3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97BA5F1-07A8-474D-8541-0E36EB7FA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4517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202</Words>
  <Characters>1217</Characters>
  <Application>Microsoft Office Word</Application>
  <DocSecurity>0</DocSecurity>
  <Lines>101</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2024-09-25T05:42:00Z</dcterms:created>
  <dcterms:modified xsi:type="dcterms:W3CDTF">2024-09-25T05:45:00Z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234f3775-b99b-4f26-ba81-a737a1162de4</vt:lpwstr>
  </property>
</Properties>
</file>